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8F77E" w14:textId="77777777" w:rsidR="006E45D8" w:rsidRPr="002D01D9" w:rsidRDefault="006E45D8" w:rsidP="006E45D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D01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Сегодня дополнительное образование детей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 и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ребёнка. </w:t>
      </w:r>
    </w:p>
    <w:p w14:paraId="2C9B8380" w14:textId="77777777" w:rsidR="006E45D8" w:rsidRPr="002D01D9" w:rsidRDefault="006E45D8" w:rsidP="006E45D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D01D9">
        <w:rPr>
          <w:rFonts w:ascii="Times New Roman" w:hAnsi="Times New Roman"/>
          <w:sz w:val="28"/>
          <w:szCs w:val="28"/>
        </w:rPr>
        <w:t xml:space="preserve">Поскольку образовательная деятельность в системе дополнительного образования предполагает не только обучение детей определенным знаниям, навыкам и умениям, но и развитие многообразных личностных качеств обучающихся, постольку об ее результатах необходимо судить по 2 группам показателей: учебные и личностные. </w:t>
      </w:r>
    </w:p>
    <w:p w14:paraId="6510A076" w14:textId="77777777" w:rsidR="006E45D8" w:rsidRPr="002D01D9" w:rsidRDefault="006E45D8" w:rsidP="006E45D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D01D9">
        <w:rPr>
          <w:rFonts w:ascii="Times New Roman" w:hAnsi="Times New Roman"/>
          <w:sz w:val="28"/>
          <w:szCs w:val="28"/>
        </w:rPr>
        <w:t>Динамика результатов освоения предметной деятельности и личностного развития проводится 2 раза в год: в начале (</w:t>
      </w:r>
      <w:r>
        <w:rPr>
          <w:rFonts w:ascii="Times New Roman" w:hAnsi="Times New Roman"/>
          <w:sz w:val="28"/>
          <w:szCs w:val="28"/>
        </w:rPr>
        <w:t>сентябрь-</w:t>
      </w:r>
      <w:r w:rsidRPr="002D01D9">
        <w:rPr>
          <w:rFonts w:ascii="Times New Roman" w:hAnsi="Times New Roman"/>
          <w:sz w:val="28"/>
          <w:szCs w:val="28"/>
        </w:rPr>
        <w:t xml:space="preserve">октябрь) и в конце (апрель-май) учебного года. </w:t>
      </w:r>
      <w:bookmarkStart w:id="0" w:name="_GoBack"/>
      <w:bookmarkEnd w:id="0"/>
    </w:p>
    <w:p w14:paraId="49E8BC56" w14:textId="78194A7D" w:rsidR="006E45D8" w:rsidRPr="002D01D9" w:rsidRDefault="006E45D8" w:rsidP="006E45D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D01D9">
        <w:rPr>
          <w:rFonts w:ascii="Times New Roman" w:hAnsi="Times New Roman"/>
          <w:sz w:val="28"/>
          <w:szCs w:val="28"/>
        </w:rPr>
        <w:t>Динамика предметной деятельности, представленная в виде диаграммы, отражает результаты обучени</w:t>
      </w:r>
      <w:r w:rsidR="00C834E5">
        <w:rPr>
          <w:rFonts w:ascii="Times New Roman" w:hAnsi="Times New Roman"/>
          <w:sz w:val="28"/>
          <w:szCs w:val="28"/>
        </w:rPr>
        <w:t>я по ДООП одной группы в течение</w:t>
      </w:r>
      <w:r w:rsidRPr="002D01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2D01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Pr="002D01D9">
        <w:rPr>
          <w:rFonts w:ascii="Times New Roman" w:hAnsi="Times New Roman"/>
          <w:sz w:val="28"/>
          <w:szCs w:val="28"/>
        </w:rPr>
        <w:t>:</w:t>
      </w:r>
    </w:p>
    <w:p w14:paraId="27208148" w14:textId="6A718342" w:rsidR="006E45D8" w:rsidRDefault="006E45D8" w:rsidP="006E45D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D01D9">
        <w:rPr>
          <w:rFonts w:ascii="Times New Roman" w:hAnsi="Times New Roman"/>
          <w:sz w:val="28"/>
          <w:szCs w:val="28"/>
        </w:rPr>
        <w:t>Ниже представлен</w:t>
      </w:r>
      <w:r>
        <w:rPr>
          <w:rFonts w:ascii="Times New Roman" w:hAnsi="Times New Roman"/>
          <w:sz w:val="28"/>
          <w:szCs w:val="28"/>
        </w:rPr>
        <w:t>а</w:t>
      </w:r>
      <w:r w:rsidRPr="002D01D9">
        <w:rPr>
          <w:rFonts w:ascii="Times New Roman" w:hAnsi="Times New Roman"/>
          <w:sz w:val="28"/>
          <w:szCs w:val="28"/>
        </w:rPr>
        <w:t xml:space="preserve"> диаграмм</w:t>
      </w:r>
      <w:r>
        <w:rPr>
          <w:rFonts w:ascii="Times New Roman" w:hAnsi="Times New Roman"/>
          <w:sz w:val="28"/>
          <w:szCs w:val="28"/>
        </w:rPr>
        <w:t>а</w:t>
      </w:r>
      <w:r w:rsidRPr="002D01D9">
        <w:rPr>
          <w:rFonts w:ascii="Times New Roman" w:hAnsi="Times New Roman"/>
          <w:sz w:val="28"/>
          <w:szCs w:val="28"/>
        </w:rPr>
        <w:t>:</w:t>
      </w:r>
    </w:p>
    <w:p w14:paraId="70E08142" w14:textId="4595CB13" w:rsidR="006E45D8" w:rsidRDefault="006E45D8" w:rsidP="00563B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4FD9D39" wp14:editId="5FFCEADF">
            <wp:extent cx="2933700" cy="3200400"/>
            <wp:effectExtent l="0" t="0" r="0" b="0"/>
            <wp:docPr id="207894777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563B8C">
        <w:rPr>
          <w:rFonts w:ascii="Times New Roman" w:hAnsi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E9C84DA" wp14:editId="3FED1F20">
            <wp:extent cx="2933700" cy="3200400"/>
            <wp:effectExtent l="0" t="0" r="0" b="0"/>
            <wp:docPr id="146683605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7992F0C" w14:textId="77777777" w:rsidR="00563B8C" w:rsidRDefault="00563B8C" w:rsidP="00563B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Еще одним показателем эффективности является участие воспитанников объединения в различных конкурсах, олимпиадах международного, всероссийского, республиканского, городского или районного уровня</w:t>
      </w:r>
    </w:p>
    <w:p w14:paraId="0E254A1F" w14:textId="7E9BAD52" w:rsidR="00563B8C" w:rsidRDefault="00563B8C" w:rsidP="00563B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355529A9" wp14:editId="6A8B18E4">
            <wp:extent cx="5486400" cy="3200400"/>
            <wp:effectExtent l="0" t="0" r="0" b="0"/>
            <wp:docPr id="147206015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40E6F89" w14:textId="08D99358" w:rsidR="00770B71" w:rsidRPr="006E45D8" w:rsidRDefault="00770B71" w:rsidP="00563B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DF64FC4" wp14:editId="47DE9854">
            <wp:extent cx="5486400" cy="3200400"/>
            <wp:effectExtent l="0" t="0" r="0" b="0"/>
            <wp:docPr id="130349964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770B71" w:rsidRPr="006E4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D8"/>
    <w:rsid w:val="00563B8C"/>
    <w:rsid w:val="006E45D8"/>
    <w:rsid w:val="00770B71"/>
    <w:rsid w:val="00C834E5"/>
    <w:rsid w:val="00CD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F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D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4E5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D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4E5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Диаграмма учёта результатов обучения по ДООП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 контроль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63</c:v>
                </c:pt>
                <c:pt idx="1">
                  <c:v>75</c:v>
                </c:pt>
                <c:pt idx="2">
                  <c:v>67</c:v>
                </c:pt>
                <c:pt idx="3">
                  <c:v>50</c:v>
                </c:pt>
                <c:pt idx="4">
                  <c:v>68</c:v>
                </c:pt>
                <c:pt idx="5">
                  <c:v>69</c:v>
                </c:pt>
                <c:pt idx="6">
                  <c:v>70</c:v>
                </c:pt>
                <c:pt idx="7">
                  <c:v>75</c:v>
                </c:pt>
                <c:pt idx="8">
                  <c:v>67</c:v>
                </c:pt>
                <c:pt idx="9">
                  <c:v>55</c:v>
                </c:pt>
                <c:pt idx="10">
                  <c:v>45</c:v>
                </c:pt>
                <c:pt idx="11">
                  <c:v>77</c:v>
                </c:pt>
                <c:pt idx="12">
                  <c:v>70</c:v>
                </c:pt>
                <c:pt idx="13">
                  <c:v>66</c:v>
                </c:pt>
                <c:pt idx="1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1A-4D77-AFEC-A588C96947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Итоговый контроль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72</c:v>
                </c:pt>
                <c:pt idx="1">
                  <c:v>80</c:v>
                </c:pt>
                <c:pt idx="2">
                  <c:v>74</c:v>
                </c:pt>
                <c:pt idx="3">
                  <c:v>71</c:v>
                </c:pt>
                <c:pt idx="4">
                  <c:v>75</c:v>
                </c:pt>
                <c:pt idx="5">
                  <c:v>78</c:v>
                </c:pt>
                <c:pt idx="6">
                  <c:v>80</c:v>
                </c:pt>
                <c:pt idx="7">
                  <c:v>84</c:v>
                </c:pt>
                <c:pt idx="8">
                  <c:v>77</c:v>
                </c:pt>
                <c:pt idx="9">
                  <c:v>70</c:v>
                </c:pt>
                <c:pt idx="10">
                  <c:v>68</c:v>
                </c:pt>
                <c:pt idx="11">
                  <c:v>80</c:v>
                </c:pt>
                <c:pt idx="12">
                  <c:v>85</c:v>
                </c:pt>
                <c:pt idx="13">
                  <c:v>88</c:v>
                </c:pt>
                <c:pt idx="14">
                  <c:v>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1A-4D77-AFEC-A588C9694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926208"/>
        <c:axId val="123443072"/>
      </c:barChart>
      <c:catAx>
        <c:axId val="10292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443072"/>
        <c:crosses val="autoZero"/>
        <c:auto val="1"/>
        <c:lblAlgn val="ctr"/>
        <c:lblOffset val="100"/>
        <c:noMultiLvlLbl val="0"/>
      </c:catAx>
      <c:valAx>
        <c:axId val="12344307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926208"/>
        <c:crosses val="autoZero"/>
        <c:crossBetween val="between"/>
        <c:majorUnit val="10"/>
        <c:minorUnit val="2"/>
        <c:dispUnits>
          <c:builtInUnit val="hundreds"/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57930258717661"/>
          <c:y val="0.9092257217847769"/>
          <c:w val="0.7351112360954881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Диаграмма личностного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развития воспитанников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 контроль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65</c:v>
                </c:pt>
                <c:pt idx="1">
                  <c:v>68</c:v>
                </c:pt>
                <c:pt idx="2">
                  <c:v>66</c:v>
                </c:pt>
                <c:pt idx="3">
                  <c:v>60</c:v>
                </c:pt>
                <c:pt idx="4">
                  <c:v>70</c:v>
                </c:pt>
                <c:pt idx="5">
                  <c:v>64</c:v>
                </c:pt>
                <c:pt idx="6">
                  <c:v>71</c:v>
                </c:pt>
                <c:pt idx="7">
                  <c:v>69</c:v>
                </c:pt>
                <c:pt idx="8">
                  <c:v>56</c:v>
                </c:pt>
                <c:pt idx="9">
                  <c:v>80</c:v>
                </c:pt>
                <c:pt idx="10">
                  <c:v>75</c:v>
                </c:pt>
                <c:pt idx="11">
                  <c:v>74</c:v>
                </c:pt>
                <c:pt idx="12">
                  <c:v>71</c:v>
                </c:pt>
                <c:pt idx="13">
                  <c:v>69</c:v>
                </c:pt>
                <c:pt idx="14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E5-43EA-951B-5BCB0601D2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Итоговый контроль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72</c:v>
                </c:pt>
                <c:pt idx="1">
                  <c:v>78</c:v>
                </c:pt>
                <c:pt idx="2">
                  <c:v>78</c:v>
                </c:pt>
                <c:pt idx="3">
                  <c:v>75</c:v>
                </c:pt>
                <c:pt idx="4">
                  <c:v>81</c:v>
                </c:pt>
                <c:pt idx="5">
                  <c:v>83</c:v>
                </c:pt>
                <c:pt idx="6">
                  <c:v>74</c:v>
                </c:pt>
                <c:pt idx="7">
                  <c:v>87</c:v>
                </c:pt>
                <c:pt idx="8">
                  <c:v>69</c:v>
                </c:pt>
                <c:pt idx="9">
                  <c:v>85</c:v>
                </c:pt>
                <c:pt idx="10">
                  <c:v>80</c:v>
                </c:pt>
                <c:pt idx="11">
                  <c:v>76</c:v>
                </c:pt>
                <c:pt idx="12">
                  <c:v>80</c:v>
                </c:pt>
                <c:pt idx="13">
                  <c:v>79</c:v>
                </c:pt>
                <c:pt idx="14">
                  <c:v>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E5-43EA-951B-5BCB0601D2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117504"/>
        <c:axId val="148925056"/>
      </c:barChart>
      <c:catAx>
        <c:axId val="14211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925056"/>
        <c:crosses val="autoZero"/>
        <c:auto val="1"/>
        <c:lblAlgn val="ctr"/>
        <c:lblOffset val="100"/>
        <c:noMultiLvlLbl val="0"/>
      </c:catAx>
      <c:valAx>
        <c:axId val="14892505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117504"/>
        <c:crosses val="autoZero"/>
        <c:crossBetween val="between"/>
        <c:majorUnit val="10"/>
        <c:minorUnit val="2"/>
        <c:dispUnits>
          <c:builtInUnit val="hundreds"/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57930258717661"/>
          <c:y val="0.9092257217847769"/>
          <c:w val="0.7351112360954881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Результативность участия воспитанников в различных конкурсах, олимпиадах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604-44DF-82C5-F1A47E8E48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604-44DF-82C5-F1A47E8E48D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604-44DF-82C5-F1A47E8E48D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604-44DF-82C5-F1A47E8E48D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A604-44DF-82C5-F1A47E8E48D2}"/>
              </c:ext>
            </c:extLst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604-44DF-82C5-F1A47E8E48D2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04-44DF-82C5-F1A47E8E48D2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04-44DF-82C5-F1A47E8E48D2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04-44DF-82C5-F1A47E8E48D2}"/>
                </c:ext>
              </c:extLst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604-44DF-82C5-F1A47E8E48D2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1 место</c:v>
                </c:pt>
                <c:pt idx="1">
                  <c:v>2 место</c:v>
                </c:pt>
                <c:pt idx="2">
                  <c:v>3 место</c:v>
                </c:pt>
                <c:pt idx="3">
                  <c:v>Благодарственные письма</c:v>
                </c:pt>
                <c:pt idx="4">
                  <c:v>Сертификаты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5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04-44DF-82C5-F1A47E8E48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Результативность работы педагога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CED-42D9-8BAE-15614AA9B0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CED-42D9-8BAE-15614AA9B0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CED-42D9-8BAE-15614AA9B0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CED-42D9-8BAE-15614AA9B039}"/>
              </c:ext>
            </c:extLst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ED-42D9-8BAE-15614AA9B039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ED-42D9-8BAE-15614AA9B039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ED-42D9-8BAE-15614AA9B039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ED-42D9-8BAE-15614AA9B039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Свидетельства</c:v>
                </c:pt>
                <c:pt idx="1">
                  <c:v>Почётные грамоты</c:v>
                </c:pt>
                <c:pt idx="2">
                  <c:v>Благодарственные письма</c:v>
                </c:pt>
                <c:pt idx="3">
                  <c:v>Сертификаты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CED-42D9-8BAE-15614AA9B0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Нил Атласов</dc:creator>
  <cp:keywords/>
  <dc:description/>
  <cp:lastModifiedBy>HP</cp:lastModifiedBy>
  <cp:revision>2</cp:revision>
  <cp:lastPrinted>2025-01-15T17:53:00Z</cp:lastPrinted>
  <dcterms:created xsi:type="dcterms:W3CDTF">2025-01-12T13:07:00Z</dcterms:created>
  <dcterms:modified xsi:type="dcterms:W3CDTF">2025-01-15T17:57:00Z</dcterms:modified>
</cp:coreProperties>
</file>